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7" w:rsidRDefault="00242237" w:rsidP="00242237">
      <w:pPr>
        <w:rPr>
          <w:rFonts w:asciiTheme="majorHAnsi" w:hAnsiTheme="majorHAnsi"/>
          <w:szCs w:val="4"/>
          <w:lang w:val="en-US"/>
        </w:rPr>
      </w:pPr>
    </w:p>
    <w:p w:rsidR="00242237" w:rsidRDefault="00242237" w:rsidP="00242237">
      <w:pPr>
        <w:spacing w:after="0"/>
        <w:jc w:val="center"/>
        <w:rPr>
          <w:rFonts w:asciiTheme="majorHAnsi" w:hAnsiTheme="majorHAnsi"/>
          <w:b/>
          <w:i/>
          <w:szCs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3"/>
        <w:gridCol w:w="5970"/>
      </w:tblGrid>
      <w:tr w:rsidR="00242237" w:rsidTr="00BB5CEE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242237" w:rsidRPr="00B26407" w:rsidRDefault="00242237" w:rsidP="00512CBC">
            <w:pPr>
              <w:jc w:val="center"/>
              <w:rPr>
                <w:rFonts w:asciiTheme="majorHAnsi" w:hAnsiTheme="majorHAnsi"/>
                <w:b/>
                <w:sz w:val="24"/>
                <w:szCs w:val="4"/>
                <w:lang w:val="en-US"/>
              </w:rPr>
            </w:pPr>
            <w:r w:rsidRPr="00B26407">
              <w:rPr>
                <w:rFonts w:asciiTheme="majorHAnsi" w:hAnsiTheme="majorHAnsi"/>
                <w:b/>
                <w:sz w:val="24"/>
                <w:szCs w:val="4"/>
                <w:lang w:val="en-US"/>
              </w:rPr>
              <w:t>STANDAR PELAYANAN</w:t>
            </w:r>
          </w:p>
          <w:p w:rsidR="00242237" w:rsidRPr="00B26407" w:rsidRDefault="00B26407" w:rsidP="00512CBC">
            <w:pPr>
              <w:pBdr>
                <w:bottom w:val="single" w:sz="4" w:space="1" w:color="auto"/>
              </w:pBdr>
              <w:jc w:val="center"/>
              <w:rPr>
                <w:rFonts w:asciiTheme="majorHAnsi" w:hAnsiTheme="majorHAnsi"/>
                <w:b/>
                <w:szCs w:val="4"/>
                <w:u w:val="single"/>
                <w:lang w:val="en-US"/>
              </w:rPr>
            </w:pPr>
            <w:r w:rsidRPr="00B26407">
              <w:rPr>
                <w:rFonts w:asciiTheme="majorHAnsi" w:hAnsiTheme="majorHAnsi"/>
                <w:b/>
                <w:szCs w:val="4"/>
                <w:u w:val="single"/>
                <w:lang w:val="en-US"/>
              </w:rPr>
              <w:t>KELURAHAN KARANG ANYAR</w:t>
            </w:r>
          </w:p>
          <w:p w:rsidR="00242237" w:rsidRDefault="00242237" w:rsidP="00512CBC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</w:p>
          <w:p w:rsidR="00242237" w:rsidRDefault="00242237" w:rsidP="003C4DC7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  <w:r>
              <w:rPr>
                <w:rFonts w:asciiTheme="majorHAnsi" w:hAnsiTheme="majorHAnsi"/>
                <w:b/>
                <w:i/>
                <w:szCs w:val="4"/>
                <w:lang w:val="en-US"/>
              </w:rPr>
              <w:t xml:space="preserve">Jenis Pelayanan : Keterangan tidak </w:t>
            </w:r>
            <w:r w:rsidR="00D7546A">
              <w:rPr>
                <w:rFonts w:asciiTheme="majorHAnsi" w:hAnsiTheme="majorHAnsi"/>
                <w:b/>
                <w:i/>
                <w:szCs w:val="4"/>
                <w:lang w:val="en-US"/>
              </w:rPr>
              <w:t xml:space="preserve">mampu </w:t>
            </w:r>
          </w:p>
        </w:tc>
      </w:tr>
      <w:tr w:rsidR="00242237" w:rsidTr="00BB5CEE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1.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Dasar Hukum </w:t>
            </w:r>
          </w:p>
        </w:tc>
        <w:tc>
          <w:tcPr>
            <w:tcW w:w="5970" w:type="dxa"/>
          </w:tcPr>
          <w:p w:rsidR="005D5DAB" w:rsidRDefault="005D5DAB" w:rsidP="005D5DAB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1. UU No. 25 Tahun 2009 tentang Pelayanan Publik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2. Permenpan dan RB No.35 Tahun 2012 tentang Penyusunan SOP AP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3. Peraturan Daerah Kota Samarinda No.10 Tahun 2009 tentang Kelurahan Dalam Kota Samarinda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4. Peraturan Daerah No 14 Tahun 2008 Tentang Tata Kerja Kelurahan Kota Samarinda</w:t>
            </w:r>
          </w:p>
          <w:p w:rsidR="005D5DAB" w:rsidRDefault="005D5DAB" w:rsidP="005D5DAB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>5. Perwali No 32 Tahun 2011 tentang Pelimpahan   Kewenangan dari Walikota kepada Lurah</w:t>
            </w:r>
          </w:p>
          <w:p w:rsidR="005D5DAB" w:rsidRPr="005C08B2" w:rsidRDefault="005D5DAB" w:rsidP="005D5DAB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6. </w:t>
            </w:r>
            <w:r>
              <w:rPr>
                <w:rFonts w:ascii="Cambria" w:hAnsi="Cambria"/>
                <w:szCs w:val="4"/>
              </w:rPr>
              <w:t>Instruksi Walikota Samarinda Nomor 061/0169.Org.2/I/2015 tentang Pelaksanaan Standar Operasional (SOP) Administrasi Pemerintahan, Standar Pelayanan dan Maklumat Pelayanan Di Lingkungan Pemerintah Kota Samarinda</w:t>
            </w:r>
          </w:p>
          <w:p w:rsidR="008E012B" w:rsidRPr="008E012B" w:rsidRDefault="008E012B" w:rsidP="005D5DAB">
            <w:pPr>
              <w:pStyle w:val="ListParagraph"/>
              <w:ind w:left="360" w:right="14"/>
              <w:jc w:val="both"/>
              <w:rPr>
                <w:rFonts w:ascii="Cambria" w:hAnsi="Cambria" w:cs="Calibri"/>
              </w:rPr>
            </w:pPr>
            <w:r w:rsidRPr="001D7FF7">
              <w:rPr>
                <w:rFonts w:ascii="Cambria" w:hAnsi="Cambria" w:cs="Calibri"/>
              </w:rPr>
              <w:t xml:space="preserve"> 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2.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</w:t>
            </w:r>
          </w:p>
        </w:tc>
        <w:tc>
          <w:tcPr>
            <w:tcW w:w="5970" w:type="dxa"/>
          </w:tcPr>
          <w:p w:rsidR="0048207D" w:rsidRDefault="00242237" w:rsidP="0048207D">
            <w:pPr>
              <w:pStyle w:val="ListParagraph"/>
              <w:ind w:hanging="40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 Administrasi</w:t>
            </w:r>
            <w:r w:rsidR="0048207D">
              <w:rPr>
                <w:rFonts w:asciiTheme="majorHAnsi" w:hAnsiTheme="majorHAnsi"/>
                <w:szCs w:val="4"/>
                <w:lang w:val="en-US"/>
              </w:rPr>
              <w:t xml:space="preserve"> :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Pengantar RT Asli</w:t>
            </w:r>
          </w:p>
          <w:p w:rsidR="00242237" w:rsidRDefault="00242237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 w:rsidRPr="0048207D">
              <w:rPr>
                <w:rFonts w:asciiTheme="majorHAnsi" w:hAnsiTheme="majorHAnsi"/>
                <w:szCs w:val="4"/>
                <w:lang w:val="en-US"/>
              </w:rPr>
              <w:t>F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oto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C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opy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AC3912">
              <w:rPr>
                <w:rFonts w:asciiTheme="majorHAnsi" w:hAnsiTheme="majorHAnsi"/>
                <w:szCs w:val="4"/>
                <w:lang w:val="en-US"/>
              </w:rPr>
              <w:t>Kartu K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eluarga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 sebanyak 1 lembar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Foto Copy KTP sebanyak 1 lembar</w:t>
            </w:r>
          </w:p>
          <w:p w:rsidR="009A109F" w:rsidRDefault="009A109F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Mengisi Surat Pernyataan</w:t>
            </w:r>
          </w:p>
          <w:p w:rsidR="0048207D" w:rsidRPr="00BB5CEE" w:rsidRDefault="0048207D" w:rsidP="00BB5CEE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3.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Sistem, Mekanisme dan Prosedur</w:t>
            </w:r>
          </w:p>
        </w:tc>
        <w:tc>
          <w:tcPr>
            <w:tcW w:w="5970" w:type="dxa"/>
          </w:tcPr>
          <w:p w:rsidR="0048207D" w:rsidRDefault="0048207D" w:rsidP="0048207D">
            <w:pPr>
              <w:rPr>
                <w:rFonts w:ascii="Cambria" w:hAnsi="Cambria"/>
                <w:lang w:val="en-US"/>
              </w:rPr>
            </w:pPr>
            <w:r w:rsidRPr="00737315">
              <w:rPr>
                <w:rFonts w:ascii="Cambria" w:hAnsi="Cambria"/>
              </w:rPr>
              <w:t>1.</w:t>
            </w:r>
            <w:r w:rsidRPr="00737315"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Pemohon datang  dengan menyerahkan Persyaratan Ke 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:rsidR="0048207D" w:rsidRPr="0048207D" w:rsidRDefault="0048207D" w:rsidP="0048207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    Front Desk.</w:t>
            </w:r>
          </w:p>
          <w:p w:rsidR="00704E5C" w:rsidRPr="003C4DC7" w:rsidRDefault="0048207D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 w:rsidRPr="00737315">
              <w:rPr>
                <w:rFonts w:ascii="Cambria" w:hAnsi="Cambria"/>
              </w:rPr>
              <w:t>2.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Pemeriksaan berkas </w:t>
            </w:r>
            <w:r>
              <w:rPr>
                <w:rFonts w:ascii="Cambria" w:hAnsi="Cambria"/>
                <w:lang w:val="en-US"/>
              </w:rPr>
              <w:t xml:space="preserve">dan pengetikan oleh Staf </w:t>
            </w:r>
            <w:r w:rsidR="003C4DC7">
              <w:rPr>
                <w:rFonts w:ascii="Cambria" w:hAnsi="Cambria"/>
                <w:szCs w:val="4"/>
                <w:lang w:val="en-US"/>
              </w:rPr>
              <w:t xml:space="preserve"> Kesra</w:t>
            </w:r>
          </w:p>
          <w:p w:rsidR="0048207D" w:rsidRPr="00704E5C" w:rsidRDefault="0048207D" w:rsidP="003C4DC7">
            <w:pPr>
              <w:ind w:right="14"/>
              <w:jc w:val="both"/>
              <w:rPr>
                <w:rFonts w:ascii="Cambria" w:hAnsi="Cambria"/>
                <w:szCs w:val="4"/>
              </w:rPr>
            </w:pPr>
            <w:r w:rsidRPr="00704E5C">
              <w:rPr>
                <w:rFonts w:ascii="Cambria" w:hAnsi="Cambria"/>
                <w:lang w:val="en-US"/>
              </w:rPr>
              <w:t>3. Pemberian p</w:t>
            </w:r>
            <w:r w:rsidRPr="00704E5C">
              <w:rPr>
                <w:rFonts w:ascii="Cambria" w:hAnsi="Cambria"/>
              </w:rPr>
              <w:t xml:space="preserve">araf oleh </w:t>
            </w:r>
            <w:r w:rsidR="00704E5C" w:rsidRPr="00704E5C">
              <w:rPr>
                <w:rFonts w:ascii="Cambria" w:hAnsi="Cambria"/>
                <w:szCs w:val="4"/>
              </w:rPr>
              <w:t xml:space="preserve">Kepala Seksi </w:t>
            </w:r>
            <w:r w:rsidR="003C4DC7">
              <w:rPr>
                <w:rFonts w:ascii="Cambria" w:hAnsi="Cambria"/>
                <w:szCs w:val="4"/>
                <w:lang w:val="en-US"/>
              </w:rPr>
              <w:t>Kesra</w:t>
            </w:r>
            <w:r w:rsidR="00704E5C" w:rsidRPr="00704E5C">
              <w:rPr>
                <w:rFonts w:ascii="Cambria" w:hAnsi="Cambria"/>
                <w:szCs w:val="4"/>
              </w:rPr>
              <w:t xml:space="preserve"> </w:t>
            </w:r>
          </w:p>
          <w:p w:rsidR="00242237" w:rsidRPr="0048207D" w:rsidRDefault="0048207D" w:rsidP="0048207D">
            <w:pPr>
              <w:ind w:left="176" w:hanging="176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4.</w:t>
            </w:r>
            <w:r w:rsidRPr="00737315">
              <w:rPr>
                <w:rFonts w:ascii="Cambria" w:hAnsi="Cambria"/>
              </w:rPr>
              <w:t xml:space="preserve"> Penandatanganan Surat o</w:t>
            </w:r>
            <w:r>
              <w:rPr>
                <w:rFonts w:ascii="Cambria" w:hAnsi="Cambria"/>
              </w:rPr>
              <w:t>leh Lurah atau Sekretaris Lurah</w:t>
            </w:r>
            <w:r>
              <w:rPr>
                <w:rFonts w:ascii="Cambria" w:hAnsi="Cambria"/>
                <w:lang w:val="en-US"/>
              </w:rPr>
              <w:t xml:space="preserve">   atau Pejabat berwenang</w:t>
            </w:r>
          </w:p>
        </w:tc>
      </w:tr>
      <w:tr w:rsidR="00242237" w:rsidTr="00BB5CEE">
        <w:trPr>
          <w:trHeight w:val="54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4.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Waktu Pelayanan </w:t>
            </w:r>
          </w:p>
        </w:tc>
        <w:tc>
          <w:tcPr>
            <w:tcW w:w="5970" w:type="dxa"/>
          </w:tcPr>
          <w:p w:rsidR="00242237" w:rsidRPr="00642827" w:rsidRDefault="00765F39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</w:rPr>
              <w:t>10</w:t>
            </w:r>
            <w:r w:rsidR="00242237">
              <w:rPr>
                <w:rFonts w:asciiTheme="majorHAnsi" w:hAnsiTheme="majorHAnsi"/>
                <w:szCs w:val="4"/>
                <w:lang w:val="en-US"/>
              </w:rPr>
              <w:t xml:space="preserve"> Menit</w:t>
            </w:r>
          </w:p>
        </w:tc>
      </w:tr>
      <w:tr w:rsidR="00242237" w:rsidTr="00BB5CEE">
        <w:trPr>
          <w:trHeight w:val="41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5.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Biaya/Tarif </w:t>
            </w:r>
          </w:p>
        </w:tc>
        <w:tc>
          <w:tcPr>
            <w:tcW w:w="5970" w:type="dxa"/>
          </w:tcPr>
          <w:p w:rsidR="00242237" w:rsidRPr="00642827" w:rsidRDefault="00242237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Gratis</w:t>
            </w:r>
          </w:p>
        </w:tc>
      </w:tr>
      <w:tr w:rsidR="00242237" w:rsidTr="00BB5CEE">
        <w:trPr>
          <w:trHeight w:val="73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6.</w:t>
            </w:r>
          </w:p>
        </w:tc>
        <w:tc>
          <w:tcPr>
            <w:tcW w:w="3543" w:type="dxa"/>
          </w:tcPr>
          <w:p w:rsidR="00242237" w:rsidRPr="004C7BD4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</w:rPr>
              <w:t>Produk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Pelayanan</w:t>
            </w:r>
          </w:p>
        </w:tc>
        <w:tc>
          <w:tcPr>
            <w:tcW w:w="5970" w:type="dxa"/>
          </w:tcPr>
          <w:p w:rsidR="00242237" w:rsidRPr="00642827" w:rsidRDefault="00AC3912" w:rsidP="008E5683">
            <w:pPr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 w:cs="Calibri"/>
                <w:lang w:val="en-US"/>
              </w:rPr>
              <w:t xml:space="preserve">Penerbitan Surat Keterangan </w:t>
            </w:r>
            <w:r>
              <w:rPr>
                <w:rFonts w:ascii="Cambria" w:hAnsi="Cambria" w:cs="Calibri"/>
                <w:lang w:val="en-US"/>
              </w:rPr>
              <w:t xml:space="preserve">Tidak </w:t>
            </w:r>
            <w:r w:rsidR="008E5683">
              <w:rPr>
                <w:rFonts w:ascii="Cambria" w:hAnsi="Cambria" w:cs="Calibri"/>
                <w:lang w:val="en-US"/>
              </w:rPr>
              <w:t xml:space="preserve">Mampu </w:t>
            </w:r>
            <w:bookmarkStart w:id="0" w:name="_GoBack"/>
            <w:bookmarkEnd w:id="0"/>
            <w:r w:rsidRPr="001D7FF7">
              <w:rPr>
                <w:rFonts w:ascii="Cambria" w:hAnsi="Cambria" w:cs="Calibri"/>
                <w:lang w:val="en-US"/>
              </w:rPr>
              <w:t>yang ditandatangani oleh Lurah atau pejabat yang berwenang dan di stempel basah.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7.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Sarana &amp; Prasarana, dan/Fasilitas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Sarana :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Seperangkat alat Komputer.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Buku Register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Genset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Prasarana :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tunggu ber AC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Laktasi</w:t>
            </w:r>
          </w:p>
          <w:p w:rsidR="00AC3912" w:rsidRPr="001D7FF7" w:rsidRDefault="00F82A26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Pojok Bermain Anak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lastRenderedPageBreak/>
              <w:t>Toilet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Fasilitas :</w:t>
            </w:r>
          </w:p>
          <w:p w:rsidR="00242237" w:rsidRPr="00875AC8" w:rsidRDefault="00AC3912" w:rsidP="00AC39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Wifi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lastRenderedPageBreak/>
              <w:t>8.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Kompetensi Pelaksana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Pendidikan minimal SLTA sederajat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Memahami dan mengetahui Proses </w:t>
            </w:r>
            <w:r>
              <w:rPr>
                <w:rFonts w:ascii="Cambria" w:hAnsi="Cambria"/>
                <w:szCs w:val="4"/>
                <w:lang w:val="en-US"/>
              </w:rPr>
              <w:t>Pembuatan Surat Keterangan Tidak Memiliki Tempat Tinggal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Dapat mengoperasikan Komputer minimal MS Office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9.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Pengawasan Internal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ind w:left="0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Pengawasan dilaksanakan oleh :</w:t>
            </w:r>
          </w:p>
          <w:p w:rsidR="00AE30DD" w:rsidRDefault="00AE30DD" w:rsidP="00AE30D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Sekretaris </w:t>
            </w:r>
            <w:r>
              <w:rPr>
                <w:rFonts w:ascii="Cambria" w:hAnsi="Cambria"/>
                <w:szCs w:val="4"/>
                <w:lang w:val="en-US"/>
              </w:rPr>
              <w:t>L</w:t>
            </w:r>
            <w:r>
              <w:rPr>
                <w:rFonts w:ascii="Cambria" w:hAnsi="Cambria"/>
                <w:szCs w:val="4"/>
              </w:rPr>
              <w:t>urah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Lurah</w:t>
            </w:r>
            <w:r w:rsidRPr="00AC3912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10.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Pengelolaan Pengaduan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Pengaduan dpt disampaikan kepada Lurah melalui :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Kotak Saran/Pengaduan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 xml:space="preserve">Telp. 0541 – </w:t>
            </w:r>
            <w:r w:rsidRPr="001D7FF7">
              <w:rPr>
                <w:rFonts w:ascii="Cambria" w:hAnsi="Cambria"/>
                <w:lang w:val="en-US"/>
              </w:rPr>
              <w:t>27</w:t>
            </w:r>
            <w:r w:rsidR="0018236F">
              <w:rPr>
                <w:rFonts w:ascii="Cambria" w:hAnsi="Cambria"/>
                <w:lang w:val="en-US"/>
              </w:rPr>
              <w:t>5759</w:t>
            </w:r>
          </w:p>
          <w:p w:rsidR="00AC3912" w:rsidRPr="00765F39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  <w:lang w:val="en-US"/>
              </w:rPr>
              <w:t>e-</w:t>
            </w:r>
            <w:r w:rsidRPr="001D7FF7">
              <w:rPr>
                <w:rFonts w:ascii="Cambria" w:hAnsi="Cambria"/>
              </w:rPr>
              <w:t xml:space="preserve">mail : </w:t>
            </w:r>
            <w:hyperlink r:id="rId6" w:history="1">
              <w:r w:rsidR="00AE30DD" w:rsidRPr="00665B44">
                <w:rPr>
                  <w:rStyle w:val="Hyperlink"/>
                  <w:rFonts w:ascii="Cambria" w:hAnsi="Cambria"/>
                  <w:lang w:val="en-US"/>
                </w:rPr>
                <w:t>kelurahankaranganyarsmr@gmail.com</w:t>
              </w:r>
            </w:hyperlink>
          </w:p>
          <w:p w:rsidR="00765F39" w:rsidRPr="001D7FF7" w:rsidRDefault="00765F39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>
              <w:t>Situs : http://bit.ly/Karanganyarsamarinda</w:t>
            </w:r>
          </w:p>
          <w:p w:rsidR="00242237" w:rsidRDefault="00AC3912" w:rsidP="00AC3912">
            <w:pPr>
              <w:rPr>
                <w:rFonts w:ascii="Cambria" w:hAnsi="Cambria"/>
                <w:lang w:val="en-US"/>
              </w:rPr>
            </w:pPr>
            <w:r w:rsidRPr="001D7FF7">
              <w:rPr>
                <w:rFonts w:ascii="Cambria" w:hAnsi="Cambria"/>
              </w:rPr>
              <w:t>Pengaduan yang diterima akan diproses sesuai dengan SOP</w:t>
            </w:r>
            <w:r w:rsidRPr="001D7FF7">
              <w:rPr>
                <w:rFonts w:ascii="Cambria" w:hAnsi="Cambria"/>
                <w:lang w:val="en-US"/>
              </w:rPr>
              <w:t xml:space="preserve"> </w:t>
            </w:r>
            <w:r w:rsidRPr="001D7FF7">
              <w:rPr>
                <w:rFonts w:ascii="Cambria" w:hAnsi="Cambria"/>
              </w:rPr>
              <w:t>Pengelolaan Pengaduan</w:t>
            </w:r>
            <w:r w:rsidRPr="001D7FF7">
              <w:rPr>
                <w:rFonts w:ascii="Cambria" w:hAnsi="Cambria"/>
                <w:lang w:val="en-US"/>
              </w:rPr>
              <w:t xml:space="preserve"> dan diselesaikan selama 1 hari kerja.</w:t>
            </w:r>
          </w:p>
          <w:p w:rsidR="00BB5CEE" w:rsidRDefault="00BB5CEE" w:rsidP="00AC3912">
            <w:pPr>
              <w:rPr>
                <w:rFonts w:ascii="Cambria" w:hAnsi="Cambria"/>
                <w:lang w:val="en-US"/>
              </w:rPr>
            </w:pPr>
          </w:p>
          <w:p w:rsidR="00AC3912" w:rsidRPr="00642827" w:rsidRDefault="00AC3912" w:rsidP="00AC3912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11.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Jumlah Pelaksana </w:t>
            </w:r>
          </w:p>
        </w:tc>
        <w:tc>
          <w:tcPr>
            <w:tcW w:w="5970" w:type="dxa"/>
          </w:tcPr>
          <w:p w:rsidR="001A043D" w:rsidRPr="004A169E" w:rsidRDefault="001A043D" w:rsidP="001A043D">
            <w:p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4 (empat) orang :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1 orang 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Pr="004A169E">
              <w:rPr>
                <w:rFonts w:ascii="Cambria" w:hAnsi="Cambria"/>
                <w:szCs w:val="4"/>
              </w:rPr>
              <w:t>Staf  Pemerintahan</w:t>
            </w:r>
            <w:r>
              <w:rPr>
                <w:rFonts w:ascii="Cambria" w:hAnsi="Cambria"/>
                <w:szCs w:val="4"/>
              </w:rPr>
              <w:t xml:space="preserve"> dan Trantib (</w:t>
            </w:r>
            <w:r w:rsidRPr="004401F6">
              <w:rPr>
                <w:rFonts w:ascii="Cambria" w:hAnsi="Cambria"/>
                <w:i/>
                <w:szCs w:val="4"/>
              </w:rPr>
              <w:t>Front Desk</w:t>
            </w:r>
            <w:r>
              <w:rPr>
                <w:rFonts w:ascii="Cambria" w:hAnsi="Cambria"/>
                <w:szCs w:val="4"/>
              </w:rPr>
              <w:t>)</w:t>
            </w:r>
          </w:p>
          <w:p w:rsidR="001A043D" w:rsidRDefault="001A043D" w:rsidP="001A043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Sek</w:t>
            </w:r>
            <w:r>
              <w:rPr>
                <w:rFonts w:ascii="Cambria" w:hAnsi="Cambria"/>
                <w:szCs w:val="4"/>
              </w:rPr>
              <w:t>retaris Lurah</w:t>
            </w:r>
          </w:p>
          <w:p w:rsidR="00AC3912" w:rsidRPr="001A043D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Lurah</w:t>
            </w: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12.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Jaminan Pelayanan </w:t>
            </w:r>
          </w:p>
        </w:tc>
        <w:tc>
          <w:tcPr>
            <w:tcW w:w="5970" w:type="dxa"/>
          </w:tcPr>
          <w:p w:rsidR="00AC3912" w:rsidRPr="001D7FF7" w:rsidRDefault="00AC3912" w:rsidP="004B2E8B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Memberikan Pelayanan secara efektif dan efisien serta tidak ada pungutan apapun</w:t>
            </w: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13.</w:t>
            </w:r>
          </w:p>
        </w:tc>
        <w:tc>
          <w:tcPr>
            <w:tcW w:w="3543" w:type="dxa"/>
          </w:tcPr>
          <w:p w:rsidR="00AC3912" w:rsidRPr="00B26EC7" w:rsidRDefault="00AC3912" w:rsidP="00512CBC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Jaminan Keamanan dan </w:t>
            </w: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Keselamatan Pelayanan </w:t>
            </w:r>
          </w:p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Adanya Alat Pemadam Kebakaran (APAR)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Kotak P3K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Babinkamtibmas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Babinsa</w:t>
            </w:r>
          </w:p>
          <w:p w:rsidR="00AC3912" w:rsidRPr="001D7FF7" w:rsidRDefault="00AC3912" w:rsidP="004B2E8B">
            <w:pPr>
              <w:rPr>
                <w:rFonts w:ascii="Cambria" w:hAnsi="Cambria"/>
                <w:lang w:val="en-US"/>
              </w:rPr>
            </w:pP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14.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Evaluasi Kinerja Pelaksana</w:t>
            </w:r>
          </w:p>
        </w:tc>
        <w:tc>
          <w:tcPr>
            <w:tcW w:w="5970" w:type="dxa"/>
          </w:tcPr>
          <w:p w:rsidR="00AC3912" w:rsidRPr="001D7FF7" w:rsidRDefault="00AC3912" w:rsidP="00752EFC">
            <w:pPr>
              <w:rPr>
                <w:rFonts w:ascii="Cambria" w:hAnsi="Cambria"/>
              </w:rPr>
            </w:pPr>
            <w:r w:rsidRPr="001D7FF7">
              <w:rPr>
                <w:rFonts w:ascii="Cambria" w:hAnsi="Cambria"/>
                <w:szCs w:val="4"/>
              </w:rPr>
              <w:t xml:space="preserve">Evaluasi terhadap jenis pelayanan Kelurahan </w:t>
            </w:r>
            <w:r w:rsidR="00752EFC">
              <w:rPr>
                <w:rFonts w:ascii="Cambria" w:hAnsi="Cambria"/>
                <w:szCs w:val="4"/>
                <w:lang w:val="en-US"/>
              </w:rPr>
              <w:t>Karang Anyar</w:t>
            </w:r>
            <w:r w:rsidRPr="001D7FF7">
              <w:rPr>
                <w:rFonts w:ascii="Cambria" w:hAnsi="Cambria"/>
                <w:szCs w:val="4"/>
              </w:rPr>
              <w:t xml:space="preserve"> dilakukan setiap 6 bulan sekali (semester).</w:t>
            </w:r>
          </w:p>
        </w:tc>
      </w:tr>
    </w:tbl>
    <w:p w:rsidR="00242237" w:rsidRPr="007F1E44" w:rsidRDefault="00242237" w:rsidP="00242237">
      <w:pPr>
        <w:rPr>
          <w:rFonts w:asciiTheme="majorHAnsi" w:hAnsiTheme="majorHAnsi"/>
          <w:szCs w:val="4"/>
          <w:lang w:val="en-US"/>
        </w:rPr>
      </w:pPr>
    </w:p>
    <w:p w:rsidR="00D1602F" w:rsidRDefault="00D1602F"/>
    <w:sectPr w:rsidR="00D1602F" w:rsidSect="00BB5CEE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B4E"/>
    <w:multiLevelType w:val="hybridMultilevel"/>
    <w:tmpl w:val="00680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D5B4E"/>
    <w:multiLevelType w:val="hybridMultilevel"/>
    <w:tmpl w:val="40B2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DAE"/>
    <w:multiLevelType w:val="hybridMultilevel"/>
    <w:tmpl w:val="C344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45EC"/>
    <w:multiLevelType w:val="hybridMultilevel"/>
    <w:tmpl w:val="AF6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7B8"/>
    <w:multiLevelType w:val="hybridMultilevel"/>
    <w:tmpl w:val="ED929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D2620"/>
    <w:multiLevelType w:val="hybridMultilevel"/>
    <w:tmpl w:val="3394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0026"/>
    <w:multiLevelType w:val="hybridMultilevel"/>
    <w:tmpl w:val="3EEC774E"/>
    <w:lvl w:ilvl="0" w:tplc="89AA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B656BD"/>
    <w:multiLevelType w:val="hybridMultilevel"/>
    <w:tmpl w:val="276A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7CB0"/>
    <w:multiLevelType w:val="hybridMultilevel"/>
    <w:tmpl w:val="97D08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174863"/>
    <w:multiLevelType w:val="hybridMultilevel"/>
    <w:tmpl w:val="72C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6842"/>
    <w:multiLevelType w:val="hybridMultilevel"/>
    <w:tmpl w:val="A8C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2894"/>
    <w:multiLevelType w:val="hybridMultilevel"/>
    <w:tmpl w:val="DE90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2521E"/>
    <w:multiLevelType w:val="hybridMultilevel"/>
    <w:tmpl w:val="3AE0F32C"/>
    <w:lvl w:ilvl="0" w:tplc="2A2089F0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62B3F56"/>
    <w:multiLevelType w:val="hybridMultilevel"/>
    <w:tmpl w:val="11FC5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D200A"/>
    <w:multiLevelType w:val="hybridMultilevel"/>
    <w:tmpl w:val="BD26D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6309B"/>
    <w:multiLevelType w:val="hybridMultilevel"/>
    <w:tmpl w:val="70F6F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C6CDE"/>
    <w:multiLevelType w:val="hybridMultilevel"/>
    <w:tmpl w:val="A01CECE8"/>
    <w:lvl w:ilvl="0" w:tplc="0412885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75A8"/>
    <w:multiLevelType w:val="hybridMultilevel"/>
    <w:tmpl w:val="97D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E1855"/>
    <w:multiLevelType w:val="hybridMultilevel"/>
    <w:tmpl w:val="6116E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8"/>
  </w:num>
  <w:num w:numId="12">
    <w:abstractNumId w:val="14"/>
  </w:num>
  <w:num w:numId="13">
    <w:abstractNumId w:val="2"/>
  </w:num>
  <w:num w:numId="14">
    <w:abstractNumId w:val="0"/>
  </w:num>
  <w:num w:numId="15">
    <w:abstractNumId w:val="15"/>
  </w:num>
  <w:num w:numId="16">
    <w:abstractNumId w:val="16"/>
  </w:num>
  <w:num w:numId="17">
    <w:abstractNumId w:val="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237"/>
    <w:rsid w:val="0018236F"/>
    <w:rsid w:val="001A043D"/>
    <w:rsid w:val="00242237"/>
    <w:rsid w:val="003C4DC7"/>
    <w:rsid w:val="0048207D"/>
    <w:rsid w:val="00537919"/>
    <w:rsid w:val="005D5DAB"/>
    <w:rsid w:val="00704E5C"/>
    <w:rsid w:val="00752EFC"/>
    <w:rsid w:val="00765F39"/>
    <w:rsid w:val="007F7B93"/>
    <w:rsid w:val="008E012B"/>
    <w:rsid w:val="008E5683"/>
    <w:rsid w:val="009A109F"/>
    <w:rsid w:val="00AC3912"/>
    <w:rsid w:val="00AE30DD"/>
    <w:rsid w:val="00B26407"/>
    <w:rsid w:val="00B35EDF"/>
    <w:rsid w:val="00BB5CEE"/>
    <w:rsid w:val="00BF4B99"/>
    <w:rsid w:val="00C76634"/>
    <w:rsid w:val="00D1602F"/>
    <w:rsid w:val="00D7546A"/>
    <w:rsid w:val="00EA22D9"/>
    <w:rsid w:val="00EA5F98"/>
    <w:rsid w:val="00F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37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urahankaranganyarsm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20</cp:revision>
  <dcterms:created xsi:type="dcterms:W3CDTF">2009-01-09T17:45:00Z</dcterms:created>
  <dcterms:modified xsi:type="dcterms:W3CDTF">2022-03-01T12:11:00Z</dcterms:modified>
</cp:coreProperties>
</file>